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Елантовского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97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Елантово,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Нагорная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Елантау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97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Елантау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авылы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Нагорная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урамы,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/факс (8555) 33-30-42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Elan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Nk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elantovskoe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</w:p>
    <w:p>
      <w:pPr>
        <w:spacing w:after="0" w:line="240" w:lineRule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29.05.2026 г.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right="595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назначении публичных слушаний по проекту решения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Совета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19 декабря 2018 года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40-77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595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соблюдения прав жителей на участие в обсуждении проектов муниципальных правовых актов, в соответствии со статьей 5.1 Градостр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оительного кодекса Российской Федерации, статьей 47 Федерального закона от 20 марта                         2025 года № 33-ФЗ «Об общих принципах организации местного самоуправления                       в единой системе публичной власти»,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постановляю: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Назначить публичные слушания по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проекту решения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от 19 декабря 2018 года №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40-77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» (приложение № 1).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Утвердить состав комиссии по проведению публичных слушаний                             (приложение № 2).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Определить: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3.1. организатором публичных слушаний ‒ комиссию по проведению публичных слушаний;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 дату и время проведения публичных слушаний – 6 июля 2026 года                                  в 14 часов;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 место проведения публичных слушаний – Нижнекамский район,                     с.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Нагорная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 адрес, по которому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могут представляться предложения и замечания                       по обсуждаемому вопросу, подаваться заявки на участие в публичных слушаниях                с правом выступления, место открытия экспозиции проекта: Нижнекамский район,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Нагорная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3.5. сроки проведения экспозиции проекта: с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1 июня 2026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 даты проведения публичных слушаний. Часы посещения экспозиции проекта: с 08:00                     до 16:00.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Порядок, срок и форма внесения участниками публичных слушаний предложений и замечаний, касающихся проекта: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 подача участниками публичных слушаний предложений и замечаний,                касающихся проекта, принимаются от лиц, прошедших идентификацию в соответствии с частью 12 статьи 5.1.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Градостроительного кодекса Российской Федерации  посредством записи в книге (журнале) учета по месту представления предложений  и замечаний, согласно п. 3.4, а также в письменной или устной форме во время  проведения собрания участников публичных слушаний;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4.2. участниками публичных слушаний с правом выступления для аргументации своих предложений являются лица, которые подали письменные заявки в срок по 2 июля 2026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 Исполнительному комитету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5.1.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в срок по 1 июня 2026 года оповестить население о начале проведения                      публичных слушаний путем официального обнародования настоящего постановления                 на информационных стендах и на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https://elantovskoe-sp.ru/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); 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5.2. в срок по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1 июня 2026 года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разместить проект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от 19 декабря 2018 года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40-77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согласно приложению к настоящему постановлению на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 Республики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 Татарстан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https://elantovskoe-sp.ru/</w:t>
      </w:r>
      <w:r>
        <w:rPr>
          <w:rFonts w:ascii="Times New Roman" w:hAnsi="Times New Roman" w:eastAsia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;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5.3. в срок п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ru-RU"/>
        </w:rPr>
        <w:t xml:space="preserve">о 13 июля 2026 года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 официально обнародовать итоги публичных слушаний на информационных стендах и на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https://elantovskoe-sp.ru/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  <w:t xml:space="preserve">).       </w:t>
      </w:r>
      <w:r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Комиссии по проведению публичных слушаний: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6.1. подготовить и провести публичные слушания по решению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от 19 декабря 2018 года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40-77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в соответствии с установленным порядком и в установленные настоящим постановлением сроки;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6.2. 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6.3. обеспечить размещение итогового документа публичных слушаний                   на сайте и на информационных стендах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исполнительный 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Глава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В.А. Лебедев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Приложение № 1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к постановлению Главы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Елантовского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сельского поселения Нижнекамского муниципального района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Республики Татарстан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от 29.05.2026 г. №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6</w:t>
      </w:r>
      <w:bookmarkStart w:id="0" w:name="_GoBack"/>
      <w:r/>
      <w:bookmarkEnd w:id="0"/>
      <w:r/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 w:eastAsia="SimSun" w:cs="Times New Roman"/>
          <w:bCs/>
          <w:i/>
          <w:i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Cs/>
          <w:i/>
          <w:iCs/>
          <w:sz w:val="28"/>
          <w:szCs w:val="28"/>
          <w:lang w:eastAsia="zh-CN"/>
        </w:rPr>
        <w:t xml:space="preserve">ПРОЕКТ</w:t>
      </w:r>
      <w:r>
        <w:rPr>
          <w:rFonts w:ascii="Times New Roman" w:hAnsi="Times New Roman" w:eastAsia="SimSun" w:cs="Times New Roman"/>
          <w:bCs/>
          <w:i/>
          <w:iCs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  <w:t xml:space="preserve">Совет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  <w:t xml:space="preserve">Елантовского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  <w:t xml:space="preserve">сельского поселения Нижнекамского муниципального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  <w:t xml:space="preserve"> района Республики Татарстан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/>
        </w:rPr>
      </w:r>
    </w:p>
    <w:p>
      <w:pPr>
        <w:ind w:right="-1192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-119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709" w:right="-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Елантовского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Елантовского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от 19 декабря 2018 года №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40-77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 соответствии со статьей 16 Федерального закона от 20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марта 2025 года 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Совет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решает: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pStyle w:val="626"/>
        <w:numPr>
          <w:ilvl w:val="0"/>
          <w:numId w:val="2"/>
        </w:numPr>
        <w:ind w:left="0" w:firstLine="360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 от 19 декабря 2018 года №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40-77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, изменения согласно приложению.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pStyle w:val="626"/>
        <w:numPr>
          <w:ilvl w:val="0"/>
          <w:numId w:val="2"/>
        </w:numPr>
        <w:ind w:left="0" w:firstLine="360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Официально опубликовать настоящее решение в порядке, определенном Уставом муниципального образования «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Елантовское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сельское поселение» Нижнекамского муниципального района Республики Татарстан.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pStyle w:val="626"/>
        <w:numPr>
          <w:ilvl w:val="0"/>
          <w:numId w:val="2"/>
        </w:numPr>
        <w:ind w:left="0" w:firstLine="360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Контроль за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исполнением настоящего решения возложить на исполнительный комитет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540"/>
        <w:jc w:val="right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                                                                                   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В.А. Лебедев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37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6379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к решению Совета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сельского поселения Нижнекамского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566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  от «___»______2026 г. № ___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566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566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Изменения, вносимые в правила благоустройства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1. пункт 23 статьи 2 изложить в следующей редакции: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right="-1" w:firstLine="851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«2.23. </w:t>
      </w:r>
      <w:bookmarkStart w:id="1" w:name="_Hlk22767983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1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2. статью 2 дополнить пунктами 2.32 и 2.33 следующего содержания: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«2.32.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границы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которой определены настоящими Правилами, в соответствии с порядком, установленным законом Республики Татарстан.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Границы прилегающих территорий определяются посредством установления расс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/>
      <w:bookmarkStart w:id="2" w:name="_Hlk227750793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2.33.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Внутридворовый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.»;</w:t>
      </w:r>
      <w:bookmarkEnd w:id="2"/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3. в пункте 1 статьи 3: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подпункт 2 изложить в следующей редакции: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2) </w:t>
      </w:r>
      <w:bookmarkStart w:id="3" w:name="_Hlk227681157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3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на собственников, владельцев, пользователей указанных объектов»;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4" w:name="_Hlk227680276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«, а также прилегающей к ней территории</w:t>
      </w:r>
      <w:bookmarkEnd w:id="4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»;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4. статью 8 дополнить пунктом 4 следующего содержания: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</w:t>
      </w:r>
      <w:bookmarkStart w:id="5" w:name="_Hlk227751145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4. </w:t>
      </w:r>
      <w:bookmarkEnd w:id="5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Проведение общегородских единичных массовых мероприятий по уборке (субботников, подготовке к праздничным мероприятиям), с закреплением территорий, осуществляется в соответствии с правовыми актами исполнительного комитета.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.»;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851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5. подпункт 4 пункта 1 статьи 9 дополнить абзацем следующей редакции: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«использо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подпункте 4 пункта 3.5 статьи 9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площадках для отдыха взрослых, детских игровых и спортивных площадках, автомобильных стоянках и парковках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»;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7. дополнить статьей 9.1 следующего содержания: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«9.1. Размещение средств индивидуальной мобильности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1. Средства индивидуальной мобильности (далее - СИМ)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2. Не допускается размещать СИМ: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−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−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на расстоянии ближе, чем 10 метров от внешних границ автобусных остановок и остановок городского наземного электрического транспорта;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−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на территории мемориальных комплексов и монументов;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−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на расстоянии ближе, чем 50 метров от памятников выдающимся личностям, памятников истории и культуры;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−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в случае сужения ширины тротуара (пешеходной дорожки) до 1,5 метров;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−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ближе 3 метров от края проезжей части, не оборудованного пешеходными ограждениями.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3. Не допускается пристегивание СИМ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4. Размещение парковки должно обеспечивать: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свободный доступ инвалидов и других маломобильных групп населения к объектам социальной, инженерной, транспортной инфраструктур, а также к объектам городской среды и беспрепятственного передвижения этих групп населения по территориям общего пользования;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свободный доступ для обслуживания и ремонта зданий, строений, сооружений, объектов инженерной инфраструктуры города;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беспрепятственный подъезд транспорта экстренных оперативных слу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жб к зд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аниям, строениям, сооружениям;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недопущение ограничения видимости для участников дорожного движения;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ширину пешеходных зон не менее 3 метров и доступность для механизированной уборки в таких зонах;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беспрепятственный круглосуточный подъезд автомобилей коммунальных служб для вывоза твердых коммунальных отходов;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– сохранение объектов благоустройства и зеленых насаждений.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5. СИМ необходимо парковать в зоне парковки СИМ, оставлять в вертикальном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.»;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8. пункт 1 статьи 13 дополнить абзацами следующего содержания: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</w:t>
      </w:r>
      <w:bookmarkStart w:id="6" w:name="_Hlk227753700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и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Возврат демонтированных информационных конструкций осуществляется после оплаты затрат на их демонтаж и хранение</w:t>
      </w:r>
      <w:bookmarkEnd w:id="6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.»;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9. пункт 16 статьи 14 дополнить абзацем следующего содержания: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highlight w:val="yellow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«</w:t>
      </w:r>
      <w:bookmarkStart w:id="7" w:name="_Hlk227759600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Для обеспечения сохранности газонного покрытия и п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7"/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.»;</w:t>
      </w:r>
      <w:r>
        <w:rPr>
          <w:rFonts w:ascii="Times New Roman" w:hAnsi="Times New Roman" w:eastAsia="SimSun" w:cs="Times New Roman"/>
          <w:sz w:val="28"/>
          <w:szCs w:val="28"/>
          <w:highlight w:val="yellow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10. под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пункт 3 статья 15 изложить в следующей редакции: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«3) содержать в порядке территорию домовладения и обеспечивать надлежащее санитарное состояние прилегающей территории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 дополнить статьей 15.1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bookmarkStart w:id="8" w:name="_Hlk227760066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Если иное не предусмотрено законом и иными нормативными правовыми актами, физические и юридические лица независимо от их организационно-правовой формы обязаны участвовать в содержании прилегающих территорий, в следующих границах: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расположения объекта вдоль автомобильной дороги (без учета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внутридворовых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проездов):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 других сторон многоквартирного дома - на расстоянии 10 метров от границ земельного участка, на котором расположен многоквартирный дом.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иных случаях - на расстоянии 10 метров от границ земельного участка, на котором расположен многоквартирный дом.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 Для нежилых помещений в многоквартирных домах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1.2.1. В случае расположения объекта вдоль автомобильной дороги (без учета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внутридворовых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проездов):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 стороны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управляющие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1.3. Для объектов социальной сферы – со стороны главного фасада объекта -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1.4. Для объектов промышленности: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 стороны главного фасада объекта - 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1.6. Для индивидуальных жилых домов: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 стороны главн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объектов, земельных участков.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нестационарных объектов (сооружений).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1.8. Для рынков, объектов торговли и общественного питания (рестораны,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1.9. Для автомобильных заправочных станций: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 рас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автомобильных заправочных станций.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гаражные кооперативы.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1.11. Территории ведения садоводства, огородничества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1.11.1. На расстоянии 50 метров от границ образованного в соответствии с земельным законодательством земельного участка и предоставления его в установленном порядке садоводческому некоммерческому товариществу или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1.11.2.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иных случаях, не предусмотренных подпунктом 9.1.11.1 - на расстоянии 50 метров от границ образованного в соответствии с земельным законодательством земельного участка члена садоводческого некоммерческого товарищества или огородничес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кого некоммерческого товарищества, либо лица указанного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- садоводческие некоммерческие товарищества, огороднические некоммерческие товарищества.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1.12.  Места погребения: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 расстоянии 10 метров по периметру от границ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земельных участков.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1.13. Территории линейных объектов (сооружений) – на расстоянии 6 метров от линейного объекта (сооружения).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линейных объектов (сооружений).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1.14. Стоянки длительного и краткосрочного хранения автотранспортных ср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 недвижимости.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1.15. Иные здания, строения и соору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объектов недвижимости.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1.16. Земельные участки без объектов недвижи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лица – правообладатели земельных участков.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равноудаленности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(линии, каждая точка которой равноудалена от ближайших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точек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В случае если на территории земельного участка находятся несколько зданий, строений, сооружений, принадлежащих разным лицам,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Работы по содержанию прилегающей территории включают: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7.1. в течени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7.2. в период с 15 апреля по 15 октября - ежедневное подметание пешеходных коммуникаций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7.3. в период с 16 октября по 14 апреля - уборку и вывоз снега, устранение скользкости пешеходных коммуникаций, в том числе тротуаров и лестниц.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  <w:bookmarkEnd w:id="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 статью 16 дополнить пунктами 3-5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«3. На территории ведения гражданами садоводства или огородничества, в том числе прилегающих территориях, запрещается организовыва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 пункт 6 статьи 17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14. статью 21 изложить в новой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21. Статья 21. Озеленение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Зеленые насаждения являются обязательным элементом благоустройства территории.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проведении работ по благоустройству необходимо максимальное сохранение существующих зеленых насаждений.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Содержание объектов озеленения – это компл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 Владельцы зеленых насаждений обязаны: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обеспечить сохранность и квалифицированный уход за зелеными насаждениями;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в летнее время года в сухую погоду обеспечивать полив газонов, цветников, деревьев и кустарников;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На озелененных территориях общего пользования не допускается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осуществлять самовольную посадку и вырубку деревьев и кустарников, уничтожение газонов и цветников;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складировать на строительные и прочие материалы;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 сжигать листья, траву, ветки, а также осуществлять их смет в лотки и иные водопропускные устройства;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7) сбрасывать смет и мусор на газоны;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8) разжигать костры;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9) надрезать деревья для добычи сока, смолы, наносить им иные механические повреждения;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10) портить скульптуры, скамейки, ограды, урны, детское и спортивное оборудование, расположенные на озелененных территориях;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11) обнажать корни деревьев на расстоянии ближе 1,5 м от ствола и засыпать шейки деревьев землей или строительными отходами.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right="-1" w:firstLine="85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Елантовского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contextualSpacing/>
        <w:ind w:left="6663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Приложение №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к постановлению Главы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Елантовского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сельского поселения Нижнекамского муниципального района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6663"/>
        <w:spacing w:after="0" w:line="240" w:lineRule="auto"/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Республики Татарстан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</w:r>
    </w:p>
    <w:p>
      <w:pPr>
        <w:ind w:left="5955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SimSun" w:cs="Times New Roman"/>
          <w:bCs/>
          <w:sz w:val="27"/>
          <w:szCs w:val="27"/>
          <w:lang w:eastAsia="zh-CN"/>
        </w:rPr>
        <w:t xml:space="preserve">от 29.05.2026 г. № 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Состав комиссии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проведению публичных слушаний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>
        <w:tblPrEx/>
        <w:trPr>
          <w:trHeight w:val="356"/>
        </w:trPr>
        <w:tc>
          <w:tcPr>
            <w:tcW w:w="28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Лебедев В.А.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Елантовского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сельского поселения Нижнекамского муниципального района Республики Татарстан, председатель комиссии;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93"/>
        </w:trPr>
        <w:tc>
          <w:tcPr>
            <w:tcW w:w="28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Макаров В.А.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Елантовского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сельского поселения Нижнекамского муниципального района Республики Татарстан;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17"/>
        </w:trPr>
        <w:tc>
          <w:tcPr>
            <w:tcW w:w="280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Шайхутдинов Ф.Б.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Елантовского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сельского поселения Нижнекамского муниципального района Республики Татарстан.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  <w:tabs>
          <w:tab w:val="num" w:pos="141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90" w:hanging="1050"/>
        <w:tabs>
          <w:tab w:val="num" w:pos="159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0" w:hanging="1050"/>
        <w:tabs>
          <w:tab w:val="num" w:pos="159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  <w:tabs>
          <w:tab w:val="num" w:pos="162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  <w:tabs>
          <w:tab w:val="num" w:pos="162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  <w:tabs>
          <w:tab w:val="num" w:pos="198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  <w:tabs>
          <w:tab w:val="num" w:pos="198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  <w:tabs>
          <w:tab w:val="num" w:pos="234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  <w:tabs>
          <w:tab w:val="num" w:pos="234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character" w:styleId="625">
    <w:name w:val="Hyperlink"/>
    <w:basedOn w:val="622"/>
    <w:uiPriority w:val="99"/>
    <w:unhideWhenUsed/>
    <w:rPr>
      <w:color w:val="0000ff" w:themeColor="hyperlink"/>
      <w:u w:val="single"/>
    </w:rPr>
  </w:style>
  <w:style w:type="paragraph" w:styleId="626">
    <w:name w:val="List Paragraph"/>
    <w:basedOn w:val="62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7B556-5993-413C-9DFB-5F2152AF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Надя</cp:lastModifiedBy>
  <cp:revision>25</cp:revision>
  <dcterms:created xsi:type="dcterms:W3CDTF">2016-09-06T07:19:00Z</dcterms:created>
  <dcterms:modified xsi:type="dcterms:W3CDTF">2026-06-08T13:37:24Z</dcterms:modified>
</cp:coreProperties>
</file>